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81" w:rsidRPr="001B11CD" w:rsidRDefault="00B5704C" w:rsidP="00B5704C">
      <w:pPr>
        <w:jc w:val="center"/>
        <w:rPr>
          <w:rFonts w:ascii="Renner*" w:hAnsi="Renner*"/>
          <w:sz w:val="28"/>
        </w:rPr>
      </w:pPr>
      <w:r w:rsidRPr="001B11CD">
        <w:rPr>
          <w:rFonts w:ascii="Renner*" w:hAnsi="Renner*"/>
          <w:sz w:val="28"/>
        </w:rPr>
        <w:t>CALIFORNIA ASSOCIATION FFA</w:t>
      </w:r>
    </w:p>
    <w:p w:rsidR="00B5704C" w:rsidRPr="001B11CD" w:rsidRDefault="00B5704C" w:rsidP="00B5704C">
      <w:pPr>
        <w:jc w:val="center"/>
        <w:rPr>
          <w:rFonts w:ascii="Renner*" w:hAnsi="Renner*"/>
          <w:sz w:val="28"/>
        </w:rPr>
      </w:pPr>
      <w:r w:rsidRPr="001B11CD">
        <w:rPr>
          <w:rFonts w:ascii="Renner*" w:hAnsi="Renner*"/>
          <w:sz w:val="28"/>
        </w:rPr>
        <w:t>STATE PROFICIENCY AWARD</w:t>
      </w:r>
    </w:p>
    <w:p w:rsidR="00B5704C" w:rsidRPr="001B11CD" w:rsidRDefault="00B5704C" w:rsidP="00B5704C">
      <w:pPr>
        <w:jc w:val="center"/>
        <w:rPr>
          <w:rFonts w:ascii="Renner*" w:hAnsi="Renner*"/>
        </w:rPr>
      </w:pPr>
    </w:p>
    <w:p w:rsidR="00B5704C" w:rsidRPr="001B11CD" w:rsidRDefault="00B5704C" w:rsidP="00B5704C">
      <w:pPr>
        <w:jc w:val="center"/>
        <w:rPr>
          <w:rFonts w:ascii="Renner*" w:hAnsi="Renner*"/>
          <w:sz w:val="28"/>
        </w:rPr>
      </w:pPr>
      <w:r w:rsidRPr="001B11CD">
        <w:rPr>
          <w:rFonts w:ascii="Renner*" w:hAnsi="Renner*"/>
          <w:sz w:val="28"/>
        </w:rPr>
        <w:t>Interview Scorecard</w:t>
      </w:r>
    </w:p>
    <w:p w:rsidR="00B5704C" w:rsidRPr="001B11CD" w:rsidRDefault="00B5704C">
      <w:pPr>
        <w:rPr>
          <w:rFonts w:ascii="Renner*" w:hAnsi="Renner*"/>
        </w:rPr>
      </w:pPr>
    </w:p>
    <w:p w:rsidR="00B5704C" w:rsidRPr="001B11CD" w:rsidRDefault="00B5704C">
      <w:pPr>
        <w:rPr>
          <w:rFonts w:ascii="Renner*" w:hAnsi="Renner*"/>
        </w:rPr>
      </w:pPr>
      <w:r w:rsidRPr="001B11CD">
        <w:rPr>
          <w:rFonts w:ascii="Renner*" w:hAnsi="Renner*"/>
        </w:rPr>
        <w:t>Proficiency Award Area:  ______</w:t>
      </w:r>
      <w:r w:rsidR="001B11CD">
        <w:rPr>
          <w:rFonts w:ascii="Renner*" w:hAnsi="Renner*"/>
        </w:rPr>
        <w:t>___</w:t>
      </w:r>
      <w:r w:rsidR="00966198">
        <w:rPr>
          <w:rFonts w:ascii="Renner*" w:hAnsi="Renner*"/>
        </w:rPr>
        <w:t>_____________________</w:t>
      </w:r>
      <w:r w:rsidRPr="001B11CD">
        <w:rPr>
          <w:rFonts w:ascii="Renner*" w:hAnsi="Renner*"/>
        </w:rPr>
        <w:t>______________________________</w:t>
      </w:r>
    </w:p>
    <w:p w:rsidR="00B5704C" w:rsidRDefault="00B5704C">
      <w:pPr>
        <w:rPr>
          <w:rFonts w:ascii="Renner*" w:hAnsi="Renner*"/>
        </w:rPr>
      </w:pPr>
    </w:p>
    <w:p w:rsidR="00966198" w:rsidRPr="001B11CD" w:rsidRDefault="00966198">
      <w:pPr>
        <w:rPr>
          <w:rFonts w:ascii="Renner*" w:hAnsi="Renner*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990"/>
        <w:gridCol w:w="630"/>
        <w:gridCol w:w="630"/>
        <w:gridCol w:w="625"/>
      </w:tblGrid>
      <w:tr w:rsidR="00B5704C" w:rsidRPr="001B11CD" w:rsidTr="001B11CD">
        <w:tc>
          <w:tcPr>
            <w:tcW w:w="6475" w:type="dxa"/>
          </w:tcPr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966198">
            <w:pPr>
              <w:jc w:val="center"/>
              <w:rPr>
                <w:rFonts w:ascii="Renner*" w:hAnsi="Renner*"/>
              </w:rPr>
            </w:pPr>
            <w:r w:rsidRPr="001B11CD">
              <w:rPr>
                <w:rFonts w:ascii="Renner*" w:hAnsi="Renner*"/>
              </w:rPr>
              <w:t>Score Card Criteria</w:t>
            </w:r>
          </w:p>
        </w:tc>
        <w:tc>
          <w:tcPr>
            <w:tcW w:w="990" w:type="dxa"/>
          </w:tcPr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</w:p>
          <w:p w:rsidR="00B5704C" w:rsidRPr="001B11CD" w:rsidRDefault="00B5704C" w:rsidP="00B5704C">
            <w:pPr>
              <w:jc w:val="center"/>
              <w:rPr>
                <w:rFonts w:ascii="Renner*" w:hAnsi="Renner*"/>
              </w:rPr>
            </w:pPr>
            <w:r w:rsidRPr="001B11CD">
              <w:rPr>
                <w:rFonts w:ascii="Renner*" w:hAnsi="Renner*"/>
              </w:rPr>
              <w:t>Points Possible</w:t>
            </w: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Pr="001B11CD" w:rsidRDefault="00B5704C">
            <w:pPr>
              <w:rPr>
                <w:rFonts w:ascii="Renner*" w:hAnsi="Renner*"/>
              </w:rPr>
            </w:pPr>
          </w:p>
          <w:p w:rsidR="00B5704C" w:rsidRDefault="00B5704C">
            <w:pPr>
              <w:rPr>
                <w:rFonts w:ascii="Renner*" w:hAnsi="Renner*"/>
              </w:rPr>
            </w:pPr>
          </w:p>
          <w:p w:rsidR="00966198" w:rsidRDefault="00966198">
            <w:pPr>
              <w:rPr>
                <w:rFonts w:ascii="Renner*" w:hAnsi="Renner*"/>
              </w:rPr>
            </w:pPr>
          </w:p>
          <w:p w:rsidR="00966198" w:rsidRPr="001B11CD" w:rsidRDefault="00966198">
            <w:pPr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Student’s knowledge about the proficiency award area. </w:t>
            </w:r>
          </w:p>
        </w:tc>
        <w:tc>
          <w:tcPr>
            <w:tcW w:w="990" w:type="dxa"/>
          </w:tcPr>
          <w:p w:rsidR="00B5704C" w:rsidRPr="001B11CD" w:rsidRDefault="001B11CD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20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Student’s specific knowledge about his/her </w:t>
            </w:r>
            <w:r w:rsidR="001B11CD" w:rsidRPr="007C7C2D">
              <w:rPr>
                <w:rFonts w:ascii="Renner*" w:hAnsi="Renner*"/>
              </w:rPr>
              <w:t>Supervised    Agriculture Experience (SAE)</w:t>
            </w:r>
            <w:r w:rsidRPr="007C7C2D">
              <w:rPr>
                <w:rFonts w:ascii="Renner*" w:hAnsi="Renner*"/>
              </w:rPr>
              <w:t xml:space="preserve">. </w:t>
            </w:r>
          </w:p>
        </w:tc>
        <w:tc>
          <w:tcPr>
            <w:tcW w:w="990" w:type="dxa"/>
          </w:tcPr>
          <w:p w:rsidR="00B5704C" w:rsidRPr="001B11CD" w:rsidRDefault="001B11CD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25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The </w:t>
            </w:r>
            <w:r w:rsidR="001B11CD" w:rsidRPr="007C7C2D">
              <w:rPr>
                <w:rFonts w:ascii="Renner*" w:hAnsi="Renner*"/>
              </w:rPr>
              <w:t>SAE</w:t>
            </w:r>
            <w:r w:rsidRPr="007C7C2D">
              <w:rPr>
                <w:rFonts w:ascii="Renner*" w:hAnsi="Renner*"/>
              </w:rPr>
              <w:t xml:space="preserve"> shows </w:t>
            </w:r>
            <w:r w:rsidR="001B11CD" w:rsidRPr="007C7C2D">
              <w:rPr>
                <w:rFonts w:ascii="Renner*" w:hAnsi="Renner*"/>
              </w:rPr>
              <w:t>evidence of growth and progress</w:t>
            </w:r>
            <w:r w:rsidRPr="007C7C2D">
              <w:rPr>
                <w:rFonts w:ascii="Renner*" w:hAnsi="Renner*"/>
              </w:rPr>
              <w:t xml:space="preserve"> in scope and quality.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10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The growth and progress of the </w:t>
            </w:r>
            <w:r w:rsidR="001B11CD" w:rsidRPr="007C7C2D">
              <w:rPr>
                <w:rFonts w:ascii="Renner*" w:hAnsi="Renner*"/>
              </w:rPr>
              <w:t>SAE</w:t>
            </w:r>
            <w:r w:rsidRPr="007C7C2D">
              <w:rPr>
                <w:rFonts w:ascii="Renner*" w:hAnsi="Renner*"/>
              </w:rPr>
              <w:t xml:space="preserve"> is a result of the student’s own efforts.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5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The student’s responsibility and management </w:t>
            </w:r>
            <w:r w:rsidR="00966198">
              <w:rPr>
                <w:rFonts w:ascii="Renner*" w:hAnsi="Renner*"/>
              </w:rPr>
              <w:t xml:space="preserve">of the SAE </w:t>
            </w:r>
            <w:r w:rsidRPr="007C7C2D">
              <w:rPr>
                <w:rFonts w:ascii="Renner*" w:hAnsi="Renner*"/>
              </w:rPr>
              <w:t>has grown</w:t>
            </w:r>
            <w:r w:rsidR="00966198">
              <w:rPr>
                <w:rFonts w:ascii="Renner*" w:hAnsi="Renner*"/>
              </w:rPr>
              <w:t>/expanded</w:t>
            </w:r>
            <w:r w:rsidRPr="007C7C2D">
              <w:rPr>
                <w:rFonts w:ascii="Renner*" w:hAnsi="Renner*"/>
              </w:rPr>
              <w:t xml:space="preserve"> over time. </w:t>
            </w:r>
          </w:p>
        </w:tc>
        <w:tc>
          <w:tcPr>
            <w:tcW w:w="990" w:type="dxa"/>
          </w:tcPr>
          <w:p w:rsidR="00B5704C" w:rsidRPr="001B11CD" w:rsidRDefault="001B11CD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10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The student shows how he/she utilized available resources.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5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Educational value of the </w:t>
            </w:r>
            <w:r w:rsidR="001B11CD" w:rsidRPr="007C7C2D">
              <w:rPr>
                <w:rFonts w:ascii="Renner*" w:hAnsi="Renner*"/>
              </w:rPr>
              <w:t xml:space="preserve">SAE </w:t>
            </w:r>
            <w:r w:rsidRPr="007C7C2D">
              <w:rPr>
                <w:rFonts w:ascii="Renner*" w:hAnsi="Renner*"/>
              </w:rPr>
              <w:t xml:space="preserve">to the student.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5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7C7C2D" w:rsidRDefault="00B5704C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 w:rsidRPr="007C7C2D">
              <w:rPr>
                <w:rFonts w:ascii="Renner*" w:hAnsi="Renner*"/>
              </w:rPr>
              <w:t xml:space="preserve">The </w:t>
            </w:r>
            <w:r w:rsidR="001B11CD" w:rsidRPr="007C7C2D">
              <w:rPr>
                <w:rFonts w:ascii="Renner*" w:hAnsi="Renner*"/>
              </w:rPr>
              <w:t>SAE</w:t>
            </w:r>
            <w:r w:rsidRPr="007C7C2D">
              <w:rPr>
                <w:rFonts w:ascii="Renner*" w:hAnsi="Renner*"/>
              </w:rPr>
              <w:t xml:space="preserve"> gives evidence </w:t>
            </w:r>
            <w:r w:rsidR="001B11CD" w:rsidRPr="007C7C2D">
              <w:rPr>
                <w:rFonts w:ascii="Renner*" w:hAnsi="Renner*"/>
              </w:rPr>
              <w:t xml:space="preserve">of assisting the student in achieving an eventual occupation in the agriculture industry.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10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B5704C" w:rsidRPr="001B11CD" w:rsidTr="001B11CD">
        <w:tc>
          <w:tcPr>
            <w:tcW w:w="6475" w:type="dxa"/>
          </w:tcPr>
          <w:p w:rsidR="00B5704C" w:rsidRPr="0055005B" w:rsidRDefault="0055005B" w:rsidP="0096619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7" w:hanging="337"/>
              <w:rPr>
                <w:rFonts w:ascii="Renner*" w:hAnsi="Renner*"/>
              </w:rPr>
            </w:pPr>
            <w:r>
              <w:rPr>
                <w:rFonts w:ascii="Renner*" w:hAnsi="Renner*"/>
              </w:rPr>
              <w:t xml:space="preserve">The student is poised and articulate in his/her ability to effectively communicate with the judges during the interview. </w:t>
            </w:r>
          </w:p>
        </w:tc>
        <w:tc>
          <w:tcPr>
            <w:tcW w:w="990" w:type="dxa"/>
          </w:tcPr>
          <w:p w:rsidR="00B5704C" w:rsidRPr="001B11CD" w:rsidRDefault="0055005B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10</w:t>
            </w:r>
          </w:p>
        </w:tc>
        <w:tc>
          <w:tcPr>
            <w:tcW w:w="630" w:type="dxa"/>
          </w:tcPr>
          <w:p w:rsidR="00B5704C" w:rsidRPr="001B11CD" w:rsidRDefault="00B5704C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  <w:tc>
          <w:tcPr>
            <w:tcW w:w="625" w:type="dxa"/>
          </w:tcPr>
          <w:p w:rsidR="00B5704C" w:rsidRPr="001B11CD" w:rsidRDefault="00B5704C">
            <w:pPr>
              <w:rPr>
                <w:rFonts w:ascii="Renner*" w:hAnsi="Renner*"/>
              </w:rPr>
            </w:pPr>
          </w:p>
        </w:tc>
      </w:tr>
      <w:tr w:rsidR="00966198" w:rsidRPr="001B11CD" w:rsidTr="00966198">
        <w:trPr>
          <w:trHeight w:val="422"/>
        </w:trPr>
        <w:tc>
          <w:tcPr>
            <w:tcW w:w="6475" w:type="dxa"/>
            <w:shd w:val="clear" w:color="auto" w:fill="D9D9D9" w:themeFill="background1" w:themeFillShade="D9"/>
          </w:tcPr>
          <w:p w:rsidR="00966198" w:rsidRPr="00966198" w:rsidRDefault="00966198" w:rsidP="00966198">
            <w:pPr>
              <w:spacing w:line="276" w:lineRule="auto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TOTAL SCORE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66198" w:rsidRDefault="00966198" w:rsidP="00966198">
            <w:pPr>
              <w:spacing w:line="276" w:lineRule="auto"/>
              <w:jc w:val="center"/>
              <w:rPr>
                <w:rFonts w:ascii="Renner*" w:hAnsi="Renner*"/>
              </w:rPr>
            </w:pPr>
            <w:r>
              <w:rPr>
                <w:rFonts w:ascii="Renner*" w:hAnsi="Renner*"/>
              </w:rPr>
              <w:t>100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66198" w:rsidRPr="001B11CD" w:rsidRDefault="00966198" w:rsidP="00966198">
            <w:pPr>
              <w:spacing w:line="276" w:lineRule="auto"/>
              <w:rPr>
                <w:rFonts w:ascii="Renner*" w:hAnsi="Renner*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66198" w:rsidRPr="001B11CD" w:rsidRDefault="00966198">
            <w:pPr>
              <w:rPr>
                <w:rFonts w:ascii="Renner*" w:hAnsi="Renner*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966198" w:rsidRPr="001B11CD" w:rsidRDefault="00966198">
            <w:pPr>
              <w:rPr>
                <w:rFonts w:ascii="Renner*" w:hAnsi="Renner*"/>
              </w:rPr>
            </w:pPr>
          </w:p>
        </w:tc>
      </w:tr>
    </w:tbl>
    <w:p w:rsidR="00B5704C" w:rsidRDefault="00B5704C">
      <w:pPr>
        <w:rPr>
          <w:rFonts w:ascii="Renner*" w:hAnsi="Renner*"/>
        </w:rPr>
      </w:pPr>
    </w:p>
    <w:p w:rsidR="00966198" w:rsidRDefault="00966198">
      <w:pPr>
        <w:rPr>
          <w:rFonts w:ascii="Renner*" w:hAnsi="Renner*"/>
        </w:rPr>
      </w:pPr>
      <w:bookmarkStart w:id="0" w:name="_GoBack"/>
      <w:bookmarkEnd w:id="0"/>
    </w:p>
    <w:p w:rsidR="00966198" w:rsidRDefault="00966198">
      <w:pPr>
        <w:rPr>
          <w:rFonts w:ascii="Renner*" w:hAnsi="Renner*"/>
        </w:rPr>
      </w:pPr>
      <w:r>
        <w:rPr>
          <w:rFonts w:ascii="Renner*" w:hAnsi="Renner*"/>
        </w:rPr>
        <w:t>Judge’s Printed Name:  _____________________________________________________________</w:t>
      </w:r>
    </w:p>
    <w:p w:rsidR="00966198" w:rsidRDefault="00966198">
      <w:pPr>
        <w:rPr>
          <w:rFonts w:ascii="Renner*" w:hAnsi="Renner*"/>
        </w:rPr>
      </w:pPr>
    </w:p>
    <w:p w:rsidR="00966198" w:rsidRPr="001B11CD" w:rsidRDefault="00966198">
      <w:pPr>
        <w:rPr>
          <w:rFonts w:ascii="Renner*" w:hAnsi="Renner*"/>
        </w:rPr>
      </w:pPr>
      <w:r>
        <w:rPr>
          <w:rFonts w:ascii="Renner*" w:hAnsi="Renner*"/>
        </w:rPr>
        <w:t>Judge’s Signature:   ________________________________________________________________</w:t>
      </w:r>
    </w:p>
    <w:sectPr w:rsidR="00966198" w:rsidRPr="001B11CD" w:rsidSect="001B11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nner*">
    <w:panose1 w:val="02000503000000000000"/>
    <w:charset w:val="00"/>
    <w:family w:val="auto"/>
    <w:pitch w:val="variable"/>
    <w:sig w:usb0="800000AF" w:usb1="0000005B" w:usb2="0000001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BA9"/>
    <w:multiLevelType w:val="hybridMultilevel"/>
    <w:tmpl w:val="1362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0DC0"/>
    <w:multiLevelType w:val="hybridMultilevel"/>
    <w:tmpl w:val="6732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C"/>
    <w:rsid w:val="001B11CD"/>
    <w:rsid w:val="0055005B"/>
    <w:rsid w:val="007C7C2D"/>
    <w:rsid w:val="00966198"/>
    <w:rsid w:val="00B5704C"/>
    <w:rsid w:val="00C1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B9CB6-D845-4133-9B8D-55B97F8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Sperling</dc:creator>
  <cp:keywords/>
  <dc:description/>
  <cp:lastModifiedBy>Jill Sperling</cp:lastModifiedBy>
  <cp:revision>2</cp:revision>
  <dcterms:created xsi:type="dcterms:W3CDTF">2019-04-10T18:39:00Z</dcterms:created>
  <dcterms:modified xsi:type="dcterms:W3CDTF">2019-04-10T19:28:00Z</dcterms:modified>
</cp:coreProperties>
</file>